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A0D93" w:rsidRPr="00975F7A" w:rsidRDefault="00AA0D93" w:rsidP="00975F7A">
      <w:pPr>
        <w:spacing w:line="480" w:lineRule="auto"/>
        <w:contextualSpacing/>
        <w:jc w:val="center"/>
        <w:rPr>
          <w:rFonts w:ascii="Times New Roman" w:eastAsia="Times New Roman" w:hAnsi="Times New Roman" w:cs="Times New Roman"/>
          <w:color w:val="0E101A"/>
          <w:sz w:val="24"/>
          <w:szCs w:val="24"/>
        </w:rPr>
      </w:pPr>
    </w:p>
    <w:p w14:paraId="00000002" w14:textId="77777777" w:rsidR="00AA0D93" w:rsidRPr="00975F7A" w:rsidRDefault="00AA0D93" w:rsidP="00975F7A">
      <w:pPr>
        <w:spacing w:line="480" w:lineRule="auto"/>
        <w:contextualSpacing/>
        <w:jc w:val="center"/>
        <w:rPr>
          <w:rFonts w:ascii="Times New Roman" w:eastAsia="Times New Roman" w:hAnsi="Times New Roman" w:cs="Times New Roman"/>
          <w:color w:val="0E101A"/>
          <w:sz w:val="24"/>
          <w:szCs w:val="24"/>
        </w:rPr>
      </w:pPr>
    </w:p>
    <w:p w14:paraId="00000003" w14:textId="77777777" w:rsidR="00AA0D93" w:rsidRPr="00975F7A" w:rsidRDefault="00AA0D93" w:rsidP="00975F7A">
      <w:pPr>
        <w:spacing w:line="480" w:lineRule="auto"/>
        <w:contextualSpacing/>
        <w:jc w:val="center"/>
        <w:rPr>
          <w:rFonts w:ascii="Times New Roman" w:eastAsia="Times New Roman" w:hAnsi="Times New Roman" w:cs="Times New Roman"/>
          <w:color w:val="0E101A"/>
          <w:sz w:val="24"/>
          <w:szCs w:val="24"/>
        </w:rPr>
      </w:pPr>
    </w:p>
    <w:p w14:paraId="00000004" w14:textId="77777777" w:rsidR="00AA0D93" w:rsidRPr="00975F7A" w:rsidRDefault="00AA0D93" w:rsidP="00975F7A">
      <w:pPr>
        <w:spacing w:line="480" w:lineRule="auto"/>
        <w:contextualSpacing/>
        <w:jc w:val="center"/>
        <w:rPr>
          <w:rFonts w:ascii="Times New Roman" w:eastAsia="Times New Roman" w:hAnsi="Times New Roman" w:cs="Times New Roman"/>
          <w:color w:val="0E101A"/>
          <w:sz w:val="24"/>
          <w:szCs w:val="24"/>
        </w:rPr>
      </w:pPr>
    </w:p>
    <w:p w14:paraId="00000005" w14:textId="77777777" w:rsidR="00AA0D93" w:rsidRPr="00975F7A" w:rsidRDefault="00AA0D93" w:rsidP="00975F7A">
      <w:pPr>
        <w:spacing w:line="480" w:lineRule="auto"/>
        <w:contextualSpacing/>
        <w:jc w:val="center"/>
        <w:rPr>
          <w:rFonts w:ascii="Times New Roman" w:eastAsia="Times New Roman" w:hAnsi="Times New Roman" w:cs="Times New Roman"/>
          <w:color w:val="0E101A"/>
          <w:sz w:val="24"/>
          <w:szCs w:val="24"/>
        </w:rPr>
      </w:pPr>
    </w:p>
    <w:p w14:paraId="00000006" w14:textId="77777777" w:rsidR="00AA0D93" w:rsidRPr="00975F7A" w:rsidRDefault="00AA0D93" w:rsidP="00975F7A">
      <w:pPr>
        <w:spacing w:line="480" w:lineRule="auto"/>
        <w:contextualSpacing/>
        <w:jc w:val="center"/>
        <w:rPr>
          <w:rFonts w:ascii="Times New Roman" w:eastAsia="Times New Roman" w:hAnsi="Times New Roman" w:cs="Times New Roman"/>
          <w:color w:val="0E101A"/>
          <w:sz w:val="24"/>
          <w:szCs w:val="24"/>
        </w:rPr>
      </w:pPr>
    </w:p>
    <w:p w14:paraId="00000007" w14:textId="77777777" w:rsidR="00AA0D93" w:rsidRPr="00975F7A" w:rsidRDefault="00AA0D93" w:rsidP="00975F7A">
      <w:pPr>
        <w:spacing w:line="480" w:lineRule="auto"/>
        <w:contextualSpacing/>
        <w:jc w:val="center"/>
        <w:rPr>
          <w:rFonts w:ascii="Times New Roman" w:eastAsia="Times New Roman" w:hAnsi="Times New Roman" w:cs="Times New Roman"/>
          <w:color w:val="0E101A"/>
          <w:sz w:val="24"/>
          <w:szCs w:val="24"/>
        </w:rPr>
      </w:pPr>
    </w:p>
    <w:p w14:paraId="00000008" w14:textId="77777777" w:rsidR="00AA0D93" w:rsidRPr="00975F7A" w:rsidRDefault="00AA0D93" w:rsidP="00975F7A">
      <w:pPr>
        <w:spacing w:line="480" w:lineRule="auto"/>
        <w:contextualSpacing/>
        <w:jc w:val="center"/>
        <w:rPr>
          <w:rFonts w:ascii="Times New Roman" w:eastAsia="Times New Roman" w:hAnsi="Times New Roman" w:cs="Times New Roman"/>
          <w:color w:val="0E101A"/>
          <w:sz w:val="24"/>
          <w:szCs w:val="24"/>
        </w:rPr>
      </w:pPr>
    </w:p>
    <w:p w14:paraId="00000009" w14:textId="77777777" w:rsidR="00AA0D93" w:rsidRPr="00975F7A" w:rsidRDefault="008A5FAF" w:rsidP="00975F7A">
      <w:pPr>
        <w:spacing w:line="480" w:lineRule="auto"/>
        <w:contextualSpacing/>
        <w:jc w:val="center"/>
        <w:rPr>
          <w:rFonts w:ascii="Times New Roman" w:eastAsia="Times New Roman" w:hAnsi="Times New Roman" w:cs="Times New Roman"/>
          <w:color w:val="0E101A"/>
          <w:sz w:val="24"/>
          <w:szCs w:val="24"/>
        </w:rPr>
      </w:pPr>
      <w:bookmarkStart w:id="0" w:name="_GoBack"/>
      <w:r w:rsidRPr="00975F7A">
        <w:rPr>
          <w:rFonts w:ascii="Times New Roman" w:eastAsia="Times New Roman" w:hAnsi="Times New Roman" w:cs="Times New Roman"/>
          <w:color w:val="0E101A"/>
          <w:sz w:val="24"/>
          <w:szCs w:val="24"/>
        </w:rPr>
        <w:t>ZXY Expansion Evaluation</w:t>
      </w:r>
    </w:p>
    <w:bookmarkEnd w:id="0"/>
    <w:p w14:paraId="0000000A" w14:textId="77777777" w:rsidR="00AA0D93" w:rsidRPr="00975F7A" w:rsidRDefault="008A5FAF" w:rsidP="00975F7A">
      <w:pPr>
        <w:spacing w:line="480" w:lineRule="auto"/>
        <w:contextualSpacing/>
        <w:jc w:val="center"/>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Name</w:t>
      </w:r>
    </w:p>
    <w:p w14:paraId="0000000B" w14:textId="77777777" w:rsidR="00AA0D93" w:rsidRPr="00975F7A" w:rsidRDefault="008A5FAF" w:rsidP="00975F7A">
      <w:pPr>
        <w:spacing w:line="480" w:lineRule="auto"/>
        <w:contextualSpacing/>
        <w:jc w:val="center"/>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Instructor’s Name</w:t>
      </w:r>
    </w:p>
    <w:p w14:paraId="0000000C" w14:textId="77777777" w:rsidR="00AA0D93" w:rsidRPr="00975F7A" w:rsidRDefault="008A5FAF" w:rsidP="00975F7A">
      <w:pPr>
        <w:spacing w:line="480" w:lineRule="auto"/>
        <w:contextualSpacing/>
        <w:jc w:val="center"/>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Institution Name</w:t>
      </w:r>
    </w:p>
    <w:p w14:paraId="0000000D" w14:textId="77777777" w:rsidR="00AA0D93" w:rsidRPr="00975F7A" w:rsidRDefault="008A5FAF" w:rsidP="00975F7A">
      <w:pPr>
        <w:spacing w:line="480" w:lineRule="auto"/>
        <w:contextualSpacing/>
        <w:jc w:val="center"/>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 xml:space="preserve">Course </w:t>
      </w:r>
    </w:p>
    <w:p w14:paraId="0000000E" w14:textId="77777777" w:rsidR="00AA0D93" w:rsidRPr="00975F7A" w:rsidRDefault="008A5FAF" w:rsidP="00975F7A">
      <w:pPr>
        <w:spacing w:line="480" w:lineRule="auto"/>
        <w:contextualSpacing/>
        <w:jc w:val="center"/>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Date</w:t>
      </w:r>
    </w:p>
    <w:p w14:paraId="0000000F" w14:textId="77777777" w:rsidR="00AA0D93" w:rsidRPr="00975F7A" w:rsidRDefault="00AA0D93" w:rsidP="00975F7A">
      <w:pPr>
        <w:spacing w:line="480" w:lineRule="auto"/>
        <w:contextualSpacing/>
        <w:rPr>
          <w:rFonts w:ascii="Times New Roman" w:eastAsia="Times New Roman" w:hAnsi="Times New Roman" w:cs="Times New Roman"/>
          <w:b/>
          <w:color w:val="0E101A"/>
          <w:sz w:val="24"/>
          <w:szCs w:val="24"/>
        </w:rPr>
      </w:pPr>
    </w:p>
    <w:p w14:paraId="00000010" w14:textId="77777777" w:rsidR="00AA0D93" w:rsidRPr="00975F7A" w:rsidRDefault="00AA0D93" w:rsidP="00975F7A">
      <w:pPr>
        <w:spacing w:line="480" w:lineRule="auto"/>
        <w:contextualSpacing/>
        <w:rPr>
          <w:rFonts w:ascii="Times New Roman" w:eastAsia="Times New Roman" w:hAnsi="Times New Roman" w:cs="Times New Roman"/>
          <w:b/>
          <w:color w:val="0E101A"/>
          <w:sz w:val="24"/>
          <w:szCs w:val="24"/>
        </w:rPr>
      </w:pPr>
    </w:p>
    <w:p w14:paraId="00000011" w14:textId="77777777" w:rsidR="00AA0D93" w:rsidRPr="00975F7A" w:rsidRDefault="00AA0D93" w:rsidP="00975F7A">
      <w:pPr>
        <w:spacing w:line="480" w:lineRule="auto"/>
        <w:contextualSpacing/>
        <w:rPr>
          <w:rFonts w:ascii="Times New Roman" w:eastAsia="Times New Roman" w:hAnsi="Times New Roman" w:cs="Times New Roman"/>
          <w:b/>
          <w:color w:val="0E101A"/>
          <w:sz w:val="24"/>
          <w:szCs w:val="24"/>
        </w:rPr>
      </w:pPr>
    </w:p>
    <w:p w14:paraId="00000012" w14:textId="77777777" w:rsidR="00AA0D93" w:rsidRPr="00975F7A" w:rsidRDefault="00AA0D93" w:rsidP="00975F7A">
      <w:pPr>
        <w:spacing w:line="480" w:lineRule="auto"/>
        <w:contextualSpacing/>
        <w:rPr>
          <w:rFonts w:ascii="Times New Roman" w:eastAsia="Times New Roman" w:hAnsi="Times New Roman" w:cs="Times New Roman"/>
          <w:b/>
          <w:color w:val="0E101A"/>
          <w:sz w:val="24"/>
          <w:szCs w:val="24"/>
        </w:rPr>
      </w:pPr>
    </w:p>
    <w:p w14:paraId="00000013" w14:textId="77777777" w:rsidR="00AA0D93" w:rsidRPr="00975F7A" w:rsidRDefault="00AA0D93" w:rsidP="00975F7A">
      <w:pPr>
        <w:spacing w:line="480" w:lineRule="auto"/>
        <w:contextualSpacing/>
        <w:rPr>
          <w:rFonts w:ascii="Times New Roman" w:eastAsia="Times New Roman" w:hAnsi="Times New Roman" w:cs="Times New Roman"/>
          <w:b/>
          <w:color w:val="0E101A"/>
          <w:sz w:val="24"/>
          <w:szCs w:val="24"/>
        </w:rPr>
      </w:pPr>
    </w:p>
    <w:p w14:paraId="00000014" w14:textId="77777777" w:rsidR="00AA0D93" w:rsidRPr="00975F7A" w:rsidRDefault="00AA0D93" w:rsidP="00975F7A">
      <w:pPr>
        <w:spacing w:line="480" w:lineRule="auto"/>
        <w:contextualSpacing/>
        <w:rPr>
          <w:rFonts w:ascii="Times New Roman" w:eastAsia="Times New Roman" w:hAnsi="Times New Roman" w:cs="Times New Roman"/>
          <w:b/>
          <w:color w:val="0E101A"/>
          <w:sz w:val="24"/>
          <w:szCs w:val="24"/>
        </w:rPr>
      </w:pPr>
    </w:p>
    <w:p w14:paraId="00000015" w14:textId="77777777" w:rsidR="00AA0D93" w:rsidRPr="00975F7A" w:rsidRDefault="00AA0D93" w:rsidP="00975F7A">
      <w:pPr>
        <w:spacing w:line="480" w:lineRule="auto"/>
        <w:contextualSpacing/>
        <w:rPr>
          <w:rFonts w:ascii="Times New Roman" w:eastAsia="Times New Roman" w:hAnsi="Times New Roman" w:cs="Times New Roman"/>
          <w:b/>
          <w:color w:val="0E101A"/>
          <w:sz w:val="24"/>
          <w:szCs w:val="24"/>
        </w:rPr>
      </w:pPr>
    </w:p>
    <w:p w14:paraId="00000016" w14:textId="77777777" w:rsidR="00AA0D93" w:rsidRPr="00975F7A" w:rsidRDefault="00AA0D93" w:rsidP="00975F7A">
      <w:pPr>
        <w:spacing w:line="480" w:lineRule="auto"/>
        <w:contextualSpacing/>
        <w:rPr>
          <w:rFonts w:ascii="Times New Roman" w:eastAsia="Times New Roman" w:hAnsi="Times New Roman" w:cs="Times New Roman"/>
          <w:b/>
          <w:color w:val="0E101A"/>
          <w:sz w:val="24"/>
          <w:szCs w:val="24"/>
        </w:rPr>
      </w:pPr>
    </w:p>
    <w:p w14:paraId="00000017" w14:textId="77777777" w:rsidR="00AA0D93" w:rsidRPr="00975F7A" w:rsidRDefault="00AA0D93" w:rsidP="00975F7A">
      <w:pPr>
        <w:spacing w:line="480" w:lineRule="auto"/>
        <w:contextualSpacing/>
        <w:rPr>
          <w:rFonts w:ascii="Times New Roman" w:eastAsia="Times New Roman" w:hAnsi="Times New Roman" w:cs="Times New Roman"/>
          <w:b/>
          <w:color w:val="0E101A"/>
          <w:sz w:val="24"/>
          <w:szCs w:val="24"/>
        </w:rPr>
      </w:pPr>
    </w:p>
    <w:p w14:paraId="00000018" w14:textId="77777777" w:rsidR="00AA0D93" w:rsidRPr="00975F7A" w:rsidRDefault="00AA0D93" w:rsidP="00975F7A">
      <w:pPr>
        <w:spacing w:line="480" w:lineRule="auto"/>
        <w:contextualSpacing/>
        <w:rPr>
          <w:rFonts w:ascii="Times New Roman" w:eastAsia="Times New Roman" w:hAnsi="Times New Roman" w:cs="Times New Roman"/>
          <w:b/>
          <w:color w:val="0E101A"/>
          <w:sz w:val="24"/>
          <w:szCs w:val="24"/>
        </w:rPr>
      </w:pPr>
    </w:p>
    <w:p w14:paraId="00000019" w14:textId="77777777" w:rsidR="00AA0D93" w:rsidRPr="00975F7A" w:rsidRDefault="00AA0D93" w:rsidP="00975F7A">
      <w:pPr>
        <w:spacing w:line="480" w:lineRule="auto"/>
        <w:contextualSpacing/>
        <w:rPr>
          <w:rFonts w:ascii="Times New Roman" w:eastAsia="Times New Roman" w:hAnsi="Times New Roman" w:cs="Times New Roman"/>
          <w:b/>
          <w:color w:val="0E101A"/>
          <w:sz w:val="24"/>
          <w:szCs w:val="24"/>
        </w:rPr>
      </w:pPr>
    </w:p>
    <w:p w14:paraId="0000001A" w14:textId="77777777" w:rsidR="00AA0D93" w:rsidRPr="00975F7A" w:rsidRDefault="008A5FAF" w:rsidP="00975F7A">
      <w:pPr>
        <w:spacing w:line="480" w:lineRule="auto"/>
        <w:contextualSpacing/>
        <w:jc w:val="center"/>
        <w:rPr>
          <w:rFonts w:ascii="Times New Roman" w:eastAsia="Times New Roman" w:hAnsi="Times New Roman" w:cs="Times New Roman"/>
          <w:b/>
          <w:color w:val="0E101A"/>
          <w:sz w:val="24"/>
          <w:szCs w:val="24"/>
        </w:rPr>
      </w:pPr>
      <w:r w:rsidRPr="00975F7A">
        <w:rPr>
          <w:rFonts w:ascii="Times New Roman" w:eastAsia="Times New Roman" w:hAnsi="Times New Roman" w:cs="Times New Roman"/>
          <w:b/>
          <w:color w:val="0E101A"/>
          <w:sz w:val="24"/>
          <w:szCs w:val="24"/>
        </w:rPr>
        <w:lastRenderedPageBreak/>
        <w:t>Proposed Expansion</w:t>
      </w:r>
    </w:p>
    <w:p w14:paraId="0000001B" w14:textId="77777777" w:rsidR="00AA0D93" w:rsidRPr="00975F7A" w:rsidRDefault="008A5FAF" w:rsidP="00975F7A">
      <w:pPr>
        <w:spacing w:line="480" w:lineRule="auto"/>
        <w:ind w:firstLine="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ZYX is a company that manufactures, markets, and sells food products, mainly the staples that have revealed a steady demand rating over the years. The company has recorded significant growth over the period it has been in operation based on the financial w</w:t>
      </w:r>
      <w:r w:rsidRPr="00975F7A">
        <w:rPr>
          <w:rFonts w:ascii="Times New Roman" w:eastAsia="Times New Roman" w:hAnsi="Times New Roman" w:cs="Times New Roman"/>
          <w:color w:val="0E101A"/>
          <w:sz w:val="24"/>
          <w:szCs w:val="24"/>
        </w:rPr>
        <w:t>ith an intended expansion project amounting to $7,000,000 on equipment that would help produce two new products and open a new production plant as part of the company’s vision. The company would dispose of the equipment at $ 1,000,000 after the equipment l</w:t>
      </w:r>
      <w:r w:rsidRPr="00975F7A">
        <w:rPr>
          <w:rFonts w:ascii="Times New Roman" w:eastAsia="Times New Roman" w:hAnsi="Times New Roman" w:cs="Times New Roman"/>
          <w:color w:val="0E101A"/>
          <w:sz w:val="24"/>
          <w:szCs w:val="24"/>
        </w:rPr>
        <w:t xml:space="preserve">ifetime of 10 years based on the expansion projection. </w:t>
      </w:r>
    </w:p>
    <w:p w14:paraId="0000001C" w14:textId="4FFBB4A5" w:rsidR="00AA0D93" w:rsidRPr="00975F7A" w:rsidRDefault="008A5FAF" w:rsidP="00975F7A">
      <w:pPr>
        <w:spacing w:line="480" w:lineRule="auto"/>
        <w:contextualSpacing/>
        <w:jc w:val="center"/>
        <w:rPr>
          <w:rFonts w:ascii="Times New Roman" w:eastAsia="Times New Roman" w:hAnsi="Times New Roman" w:cs="Times New Roman"/>
          <w:b/>
          <w:color w:val="0E101A"/>
          <w:sz w:val="24"/>
          <w:szCs w:val="24"/>
        </w:rPr>
      </w:pPr>
      <w:r w:rsidRPr="00975F7A">
        <w:rPr>
          <w:rFonts w:ascii="Times New Roman" w:eastAsia="Times New Roman" w:hAnsi="Times New Roman" w:cs="Times New Roman"/>
          <w:b/>
          <w:color w:val="0E101A"/>
          <w:sz w:val="24"/>
          <w:szCs w:val="24"/>
        </w:rPr>
        <w:t xml:space="preserve">Evaluation </w:t>
      </w:r>
      <w:r w:rsidR="00975F7A" w:rsidRPr="00975F7A">
        <w:rPr>
          <w:rFonts w:ascii="Times New Roman" w:eastAsia="Times New Roman" w:hAnsi="Times New Roman" w:cs="Times New Roman"/>
          <w:b/>
          <w:color w:val="0E101A"/>
          <w:sz w:val="24"/>
          <w:szCs w:val="24"/>
        </w:rPr>
        <w:t>on</w:t>
      </w:r>
      <w:r w:rsidRPr="00975F7A">
        <w:rPr>
          <w:rFonts w:ascii="Times New Roman" w:eastAsia="Times New Roman" w:hAnsi="Times New Roman" w:cs="Times New Roman"/>
          <w:b/>
          <w:color w:val="0E101A"/>
          <w:sz w:val="24"/>
          <w:szCs w:val="24"/>
        </w:rPr>
        <w:t xml:space="preserve"> </w:t>
      </w:r>
      <w:r w:rsidR="00975F7A" w:rsidRPr="00975F7A">
        <w:rPr>
          <w:rFonts w:ascii="Times New Roman" w:eastAsia="Times New Roman" w:hAnsi="Times New Roman" w:cs="Times New Roman"/>
          <w:b/>
          <w:color w:val="0E101A"/>
          <w:sz w:val="24"/>
          <w:szCs w:val="24"/>
        </w:rPr>
        <w:t>Revenue</w:t>
      </w:r>
    </w:p>
    <w:p w14:paraId="0000001D" w14:textId="77777777" w:rsidR="00AA0D93" w:rsidRPr="00975F7A" w:rsidRDefault="008A5FAF" w:rsidP="00975F7A">
      <w:pPr>
        <w:spacing w:line="480" w:lineRule="auto"/>
        <w:ind w:firstLine="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Financial analysis involves exploring the 10-years Pro-Forma income statement illustrating the estimated revenues for the two products and the corresponding corporate expenditures associated with producing the two product lines. From the financial statemen</w:t>
      </w:r>
      <w:r w:rsidRPr="00975F7A">
        <w:rPr>
          <w:rFonts w:ascii="Times New Roman" w:eastAsia="Times New Roman" w:hAnsi="Times New Roman" w:cs="Times New Roman"/>
          <w:color w:val="0E101A"/>
          <w:sz w:val="24"/>
          <w:szCs w:val="24"/>
        </w:rPr>
        <w:t xml:space="preserve">ts, it is apparent that ZYX’s product A would generate a constant amount of revenues over the period estimated at $ 3,900,000, from year 5 to year 10, with an anticipated revenue amount of $34,640,000. On the other hand, Product B would yield revenue from </w:t>
      </w:r>
      <w:r w:rsidRPr="00975F7A">
        <w:rPr>
          <w:rFonts w:ascii="Times New Roman" w:eastAsia="Times New Roman" w:hAnsi="Times New Roman" w:cs="Times New Roman"/>
          <w:color w:val="0E101A"/>
          <w:sz w:val="24"/>
          <w:szCs w:val="24"/>
        </w:rPr>
        <w:t>year 4, depicting a constant growth of the years, with expected total revenue of $ 22,200,000. Nonetheless, the total cost of goods has been on an upward trend over the years, illustrating a controlled increment resulting from an increase in some of the at</w:t>
      </w:r>
      <w:r w:rsidRPr="00975F7A">
        <w:rPr>
          <w:rFonts w:ascii="Times New Roman" w:eastAsia="Times New Roman" w:hAnsi="Times New Roman" w:cs="Times New Roman"/>
          <w:color w:val="0E101A"/>
          <w:sz w:val="24"/>
          <w:szCs w:val="24"/>
        </w:rPr>
        <w:t xml:space="preserve">tributes associated with the cost of goods produced. </w:t>
      </w:r>
    </w:p>
    <w:p w14:paraId="0000001E" w14:textId="77777777" w:rsidR="00AA0D93" w:rsidRPr="00975F7A" w:rsidRDefault="008A5FAF" w:rsidP="00975F7A">
      <w:pPr>
        <w:spacing w:line="480" w:lineRule="auto"/>
        <w:contextualSpacing/>
        <w:jc w:val="center"/>
        <w:rPr>
          <w:rFonts w:ascii="Times New Roman" w:eastAsia="Times New Roman" w:hAnsi="Times New Roman" w:cs="Times New Roman"/>
          <w:b/>
          <w:color w:val="0E101A"/>
          <w:sz w:val="24"/>
          <w:szCs w:val="24"/>
        </w:rPr>
      </w:pPr>
      <w:r w:rsidRPr="00975F7A">
        <w:rPr>
          <w:rFonts w:ascii="Times New Roman" w:eastAsia="Times New Roman" w:hAnsi="Times New Roman" w:cs="Times New Roman"/>
          <w:b/>
          <w:color w:val="0E101A"/>
          <w:sz w:val="24"/>
          <w:szCs w:val="24"/>
        </w:rPr>
        <w:t>Evaluation on Cost of Goods Sold</w:t>
      </w:r>
    </w:p>
    <w:p w14:paraId="0000001F" w14:textId="064E0798" w:rsidR="00AA0D93" w:rsidRPr="00975F7A" w:rsidRDefault="008A5FAF" w:rsidP="00975F7A">
      <w:pPr>
        <w:spacing w:line="480" w:lineRule="auto"/>
        <w:ind w:firstLine="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From the pro</w:t>
      </w:r>
      <w:r w:rsidR="00975F7A" w:rsidRPr="00975F7A">
        <w:rPr>
          <w:rFonts w:ascii="Times New Roman" w:eastAsia="Times New Roman" w:hAnsi="Times New Roman" w:cs="Times New Roman"/>
          <w:color w:val="0E101A"/>
          <w:sz w:val="24"/>
          <w:szCs w:val="24"/>
        </w:rPr>
        <w:t>-</w:t>
      </w:r>
      <w:r w:rsidRPr="00975F7A">
        <w:rPr>
          <w:rFonts w:ascii="Times New Roman" w:eastAsia="Times New Roman" w:hAnsi="Times New Roman" w:cs="Times New Roman"/>
          <w:color w:val="0E101A"/>
          <w:sz w:val="24"/>
          <w:szCs w:val="24"/>
        </w:rPr>
        <w:t>forma income statement, most of the factors in the cost of goods are constant costs, with others presenting a significant rise, such as the payroll expense a</w:t>
      </w:r>
      <w:r w:rsidRPr="00975F7A">
        <w:rPr>
          <w:rFonts w:ascii="Times New Roman" w:eastAsia="Times New Roman" w:hAnsi="Times New Roman" w:cs="Times New Roman"/>
          <w:color w:val="0E101A"/>
          <w:sz w:val="24"/>
          <w:szCs w:val="24"/>
        </w:rPr>
        <w:t>ssisted directly with the production process, explained by the growth in workers’ salaries and corresponding hiring of new workers to help matching-up the production process. However, SQF FDA mandates illustrate a decline in year six from $90,000 to $30,00</w:t>
      </w:r>
      <w:r w:rsidRPr="00975F7A">
        <w:rPr>
          <w:rFonts w:ascii="Times New Roman" w:eastAsia="Times New Roman" w:hAnsi="Times New Roman" w:cs="Times New Roman"/>
          <w:color w:val="0E101A"/>
          <w:sz w:val="24"/>
          <w:szCs w:val="24"/>
        </w:rPr>
        <w:t>0, which is a significant phenomenon in managing the expense attributed to product compliance with the FDA requirements. On the other hand, attributes such as Miscellaneous Equipment, building repairs, plant telephone remained constant throughout the ten y</w:t>
      </w:r>
      <w:r w:rsidRPr="00975F7A">
        <w:rPr>
          <w:rFonts w:ascii="Times New Roman" w:eastAsia="Times New Roman" w:hAnsi="Times New Roman" w:cs="Times New Roman"/>
          <w:color w:val="0E101A"/>
          <w:sz w:val="24"/>
          <w:szCs w:val="24"/>
        </w:rPr>
        <w:t>ears, with other significant COG expenses remaining constant after the first production year.</w:t>
      </w:r>
    </w:p>
    <w:p w14:paraId="00000020" w14:textId="77777777" w:rsidR="00AA0D93" w:rsidRPr="00975F7A" w:rsidRDefault="008A5FAF" w:rsidP="00975F7A">
      <w:pPr>
        <w:spacing w:line="480" w:lineRule="auto"/>
        <w:contextualSpacing/>
        <w:jc w:val="center"/>
        <w:rPr>
          <w:rFonts w:ascii="Times New Roman" w:eastAsia="Times New Roman" w:hAnsi="Times New Roman" w:cs="Times New Roman"/>
          <w:b/>
          <w:color w:val="0E101A"/>
          <w:sz w:val="24"/>
          <w:szCs w:val="24"/>
        </w:rPr>
      </w:pPr>
      <w:r w:rsidRPr="00975F7A">
        <w:rPr>
          <w:rFonts w:ascii="Times New Roman" w:eastAsia="Times New Roman" w:hAnsi="Times New Roman" w:cs="Times New Roman"/>
          <w:b/>
          <w:color w:val="0E101A"/>
          <w:sz w:val="24"/>
          <w:szCs w:val="24"/>
        </w:rPr>
        <w:t>Evaluation of the Company Expenses and Net Income</w:t>
      </w:r>
    </w:p>
    <w:p w14:paraId="00000021" w14:textId="77777777" w:rsidR="00AA0D93" w:rsidRPr="00975F7A" w:rsidRDefault="008A5FAF" w:rsidP="00975F7A">
      <w:pPr>
        <w:spacing w:line="480" w:lineRule="auto"/>
        <w:ind w:firstLine="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The company expenses illustrate an oscillating amount with subsequent increases and declines, respectively, depe</w:t>
      </w:r>
      <w:r w:rsidRPr="00975F7A">
        <w:rPr>
          <w:rFonts w:ascii="Times New Roman" w:eastAsia="Times New Roman" w:hAnsi="Times New Roman" w:cs="Times New Roman"/>
          <w:color w:val="0E101A"/>
          <w:sz w:val="24"/>
          <w:szCs w:val="24"/>
        </w:rPr>
        <w:t>nding on the amount incurred as an expense by ZYX management and the production process. For instance, the third year depicted the highest expense amount of $658,777, influenced by a high cost of interest on debt that describes subsequent increase and decl</w:t>
      </w:r>
      <w:r w:rsidRPr="00975F7A">
        <w:rPr>
          <w:rFonts w:ascii="Times New Roman" w:eastAsia="Times New Roman" w:hAnsi="Times New Roman" w:cs="Times New Roman"/>
          <w:color w:val="0E101A"/>
          <w:sz w:val="24"/>
          <w:szCs w:val="24"/>
        </w:rPr>
        <w:t>ine over the years. However, most of the expenses remained constant over the years, such as the bank service charges, cellular phones, postage &amp; delivery, employee food and beverages, and other costs. Nonetheless, the company made losses for the first thre</w:t>
      </w:r>
      <w:r w:rsidRPr="00975F7A">
        <w:rPr>
          <w:rFonts w:ascii="Times New Roman" w:eastAsia="Times New Roman" w:hAnsi="Times New Roman" w:cs="Times New Roman"/>
          <w:color w:val="0E101A"/>
          <w:sz w:val="24"/>
          <w:szCs w:val="24"/>
        </w:rPr>
        <w:t>e years. ZYX attained the break-even units and became profitable in the fourth year, after when the company recorded significant growth in profits to an aggregate of $ 17,339,027 in net profit at the end of ten years.</w:t>
      </w:r>
    </w:p>
    <w:p w14:paraId="00000022" w14:textId="77777777" w:rsidR="00AA0D93" w:rsidRPr="00975F7A" w:rsidRDefault="008A5FAF" w:rsidP="00975F7A">
      <w:pPr>
        <w:spacing w:line="480" w:lineRule="auto"/>
        <w:contextualSpacing/>
        <w:jc w:val="center"/>
        <w:rPr>
          <w:rFonts w:ascii="Times New Roman" w:eastAsia="Times New Roman" w:hAnsi="Times New Roman" w:cs="Times New Roman"/>
          <w:b/>
          <w:color w:val="0E101A"/>
          <w:sz w:val="24"/>
          <w:szCs w:val="24"/>
        </w:rPr>
      </w:pPr>
      <w:r w:rsidRPr="00975F7A">
        <w:rPr>
          <w:rFonts w:ascii="Times New Roman" w:eastAsia="Times New Roman" w:hAnsi="Times New Roman" w:cs="Times New Roman"/>
          <w:b/>
          <w:color w:val="0E101A"/>
          <w:sz w:val="24"/>
          <w:szCs w:val="24"/>
        </w:rPr>
        <w:t>Investment Risks</w:t>
      </w:r>
    </w:p>
    <w:p w14:paraId="00000023" w14:textId="77777777" w:rsidR="00AA0D93" w:rsidRPr="00975F7A" w:rsidRDefault="008A5FAF" w:rsidP="00975F7A">
      <w:pPr>
        <w:spacing w:line="480" w:lineRule="auto"/>
        <w:ind w:firstLine="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The expansion process</w:t>
      </w:r>
      <w:r w:rsidRPr="00975F7A">
        <w:rPr>
          <w:rFonts w:ascii="Times New Roman" w:eastAsia="Times New Roman" w:hAnsi="Times New Roman" w:cs="Times New Roman"/>
          <w:color w:val="0E101A"/>
          <w:sz w:val="24"/>
          <w:szCs w:val="24"/>
        </w:rPr>
        <w:t xml:space="preserve"> involves numerous forms of risks that would hinder the success of the expansion program. The primary risk entails the business risks attributed to instability and ineffective administration of financial losses. The second form of risk associated with the </w:t>
      </w:r>
      <w:r w:rsidRPr="00975F7A">
        <w:rPr>
          <w:rFonts w:ascii="Times New Roman" w:eastAsia="Times New Roman" w:hAnsi="Times New Roman" w:cs="Times New Roman"/>
          <w:color w:val="0E101A"/>
          <w:sz w:val="24"/>
          <w:szCs w:val="24"/>
        </w:rPr>
        <w:t>business expansion is the competitive risk attributed to unknown markets or aggressive competitors in a marketplace (Brigham &amp; Houston, 2021). However, the ZYX expansion program has addressed the investment risk, for instance, by promoting the stability of</w:t>
      </w:r>
      <w:r w:rsidRPr="00975F7A">
        <w:rPr>
          <w:rFonts w:ascii="Times New Roman" w:eastAsia="Times New Roman" w:hAnsi="Times New Roman" w:cs="Times New Roman"/>
          <w:color w:val="0E101A"/>
          <w:sz w:val="24"/>
          <w:szCs w:val="24"/>
        </w:rPr>
        <w:t xml:space="preserve"> the company, excellent financial position, and corresponding effective management. Besides, the company has been in operation for several years in the market, alleviating the risk associated with the unknown marketplace and aggressive competitors, which f</w:t>
      </w:r>
      <w:r w:rsidRPr="00975F7A">
        <w:rPr>
          <w:rFonts w:ascii="Times New Roman" w:eastAsia="Times New Roman" w:hAnsi="Times New Roman" w:cs="Times New Roman"/>
          <w:color w:val="0E101A"/>
          <w:sz w:val="24"/>
          <w:szCs w:val="24"/>
        </w:rPr>
        <w:t xml:space="preserve">oster the attractiveness of implementing the suggested expansion programs. </w:t>
      </w:r>
    </w:p>
    <w:p w14:paraId="00000024" w14:textId="77777777" w:rsidR="00AA0D93" w:rsidRPr="00975F7A" w:rsidRDefault="008A5FAF" w:rsidP="00975F7A">
      <w:pPr>
        <w:spacing w:line="480" w:lineRule="auto"/>
        <w:contextualSpacing/>
        <w:jc w:val="center"/>
        <w:rPr>
          <w:rFonts w:ascii="Times New Roman" w:eastAsia="Times New Roman" w:hAnsi="Times New Roman" w:cs="Times New Roman"/>
          <w:b/>
          <w:color w:val="0E101A"/>
          <w:sz w:val="24"/>
          <w:szCs w:val="24"/>
        </w:rPr>
      </w:pPr>
      <w:r w:rsidRPr="00975F7A">
        <w:rPr>
          <w:rFonts w:ascii="Times New Roman" w:eastAsia="Times New Roman" w:hAnsi="Times New Roman" w:cs="Times New Roman"/>
          <w:b/>
          <w:color w:val="0E101A"/>
          <w:sz w:val="24"/>
          <w:szCs w:val="24"/>
        </w:rPr>
        <w:t>Depreciation</w:t>
      </w:r>
    </w:p>
    <w:p w14:paraId="00000025" w14:textId="1CDB7CD1" w:rsidR="00AA0D93" w:rsidRPr="00975F7A" w:rsidRDefault="008A5FAF" w:rsidP="00975F7A">
      <w:pPr>
        <w:spacing w:line="480" w:lineRule="auto"/>
        <w:ind w:firstLine="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Over the year, most of the fixed assets and other assets undergo a depreciation process marked by the loss of the fair value of the product. Tsamis and Liapis (2017) d</w:t>
      </w:r>
      <w:r w:rsidRPr="00975F7A">
        <w:rPr>
          <w:rFonts w:ascii="Times New Roman" w:eastAsia="Times New Roman" w:hAnsi="Times New Roman" w:cs="Times New Roman"/>
          <w:color w:val="0E101A"/>
          <w:sz w:val="24"/>
          <w:szCs w:val="24"/>
        </w:rPr>
        <w:t>efined depreciation as the actual value decline for equipment and machinery throughout use, accounted for using different techniques employed by the respective company. Mainly, companies employ the straight-line depreciation technique while others adopt th</w:t>
      </w:r>
      <w:r w:rsidRPr="00975F7A">
        <w:rPr>
          <w:rFonts w:ascii="Times New Roman" w:eastAsia="Times New Roman" w:hAnsi="Times New Roman" w:cs="Times New Roman"/>
          <w:color w:val="0E101A"/>
          <w:sz w:val="24"/>
          <w:szCs w:val="24"/>
        </w:rPr>
        <w:t>e MACRS technique in accounting for the depreciation of fixed assets. The primary difference between the depreciation techniques revolves around the amount incurred by a company as a tax deduction, where the MACRS method earns a more significant tax deduct</w:t>
      </w:r>
      <w:r w:rsidRPr="00975F7A">
        <w:rPr>
          <w:rFonts w:ascii="Times New Roman" w:eastAsia="Times New Roman" w:hAnsi="Times New Roman" w:cs="Times New Roman"/>
          <w:color w:val="0E101A"/>
          <w:sz w:val="24"/>
          <w:szCs w:val="24"/>
        </w:rPr>
        <w:t>ion on an asset at the early stages while still new. However, the deduction declines as the fixed asset/equipment gets older in the last lifetime. On one other hand, it is impossible to switch depreciation techniques, with the straight-line depreciation te</w:t>
      </w:r>
      <w:r w:rsidRPr="00975F7A">
        <w:rPr>
          <w:rFonts w:ascii="Times New Roman" w:eastAsia="Times New Roman" w:hAnsi="Times New Roman" w:cs="Times New Roman"/>
          <w:color w:val="0E101A"/>
          <w:sz w:val="24"/>
          <w:szCs w:val="24"/>
        </w:rPr>
        <w:t xml:space="preserve">chnique requiring that a company use the technique for all assets in the same class. Antoniuk and Zholnerchyk (2018) pointed out that most </w:t>
      </w:r>
      <w:r w:rsidR="00975F7A" w:rsidRPr="00975F7A">
        <w:rPr>
          <w:rFonts w:ascii="Times New Roman" w:eastAsia="Times New Roman" w:hAnsi="Times New Roman" w:cs="Times New Roman"/>
          <w:color w:val="0E101A"/>
          <w:sz w:val="24"/>
          <w:szCs w:val="24"/>
        </w:rPr>
        <w:t>accountants</w:t>
      </w:r>
      <w:r w:rsidRPr="00975F7A">
        <w:rPr>
          <w:rFonts w:ascii="Times New Roman" w:eastAsia="Times New Roman" w:hAnsi="Times New Roman" w:cs="Times New Roman"/>
          <w:color w:val="0E101A"/>
          <w:sz w:val="24"/>
          <w:szCs w:val="24"/>
        </w:rPr>
        <w:t xml:space="preserve"> prefers the straight-line depreciation technique because of the ease of use in determining the depreciatio</w:t>
      </w:r>
      <w:r w:rsidRPr="00975F7A">
        <w:rPr>
          <w:rFonts w:ascii="Times New Roman" w:eastAsia="Times New Roman" w:hAnsi="Times New Roman" w:cs="Times New Roman"/>
          <w:color w:val="0E101A"/>
          <w:sz w:val="24"/>
          <w:szCs w:val="24"/>
        </w:rPr>
        <w:t>n amount accounted for in the company’s profit and loss statement.</w:t>
      </w:r>
    </w:p>
    <w:p w14:paraId="00000026" w14:textId="77777777" w:rsidR="00AA0D93" w:rsidRPr="00975F7A" w:rsidRDefault="008A5FAF" w:rsidP="00975F7A">
      <w:pPr>
        <w:spacing w:line="480" w:lineRule="auto"/>
        <w:ind w:firstLine="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In this case, the use of MARCS on depreciating the equipment is the better option in the asset evaluation. MARCS allows for the classification of equipment usage and efficiency while accoun</w:t>
      </w:r>
      <w:r w:rsidRPr="00975F7A">
        <w:rPr>
          <w:rFonts w:ascii="Times New Roman" w:eastAsia="Times New Roman" w:hAnsi="Times New Roman" w:cs="Times New Roman"/>
          <w:color w:val="0E101A"/>
          <w:sz w:val="24"/>
          <w:szCs w:val="24"/>
        </w:rPr>
        <w:t>ting for downtime hours and the corresponding effectiveness of the machine over a selected duration. Therefore, ZYX would benefit from MARCs technique of depreciation by enhancing the ability to evaluate the tax deduction in the company’s long run.</w:t>
      </w:r>
    </w:p>
    <w:p w14:paraId="00000027" w14:textId="77777777" w:rsidR="00AA0D93" w:rsidRPr="00975F7A" w:rsidRDefault="00AA0D93" w:rsidP="00975F7A">
      <w:pPr>
        <w:spacing w:line="480" w:lineRule="auto"/>
        <w:ind w:firstLine="720"/>
        <w:contextualSpacing/>
        <w:rPr>
          <w:rFonts w:ascii="Times New Roman" w:eastAsia="Times New Roman" w:hAnsi="Times New Roman" w:cs="Times New Roman"/>
          <w:color w:val="0E101A"/>
          <w:sz w:val="24"/>
          <w:szCs w:val="24"/>
        </w:rPr>
      </w:pPr>
    </w:p>
    <w:p w14:paraId="00000028" w14:textId="77777777" w:rsidR="00AA0D93" w:rsidRPr="00975F7A" w:rsidRDefault="00AA0D93" w:rsidP="00975F7A">
      <w:pPr>
        <w:spacing w:line="480" w:lineRule="auto"/>
        <w:ind w:firstLine="720"/>
        <w:contextualSpacing/>
        <w:rPr>
          <w:rFonts w:ascii="Times New Roman" w:eastAsia="Times New Roman" w:hAnsi="Times New Roman" w:cs="Times New Roman"/>
          <w:color w:val="0E101A"/>
          <w:sz w:val="24"/>
          <w:szCs w:val="24"/>
        </w:rPr>
      </w:pPr>
    </w:p>
    <w:p w14:paraId="00000029" w14:textId="77777777" w:rsidR="00AA0D93" w:rsidRPr="00975F7A" w:rsidRDefault="008A5FAF" w:rsidP="00975F7A">
      <w:pPr>
        <w:spacing w:line="480" w:lineRule="auto"/>
        <w:contextualSpacing/>
        <w:jc w:val="center"/>
        <w:rPr>
          <w:rFonts w:ascii="Times New Roman" w:eastAsia="Times New Roman" w:hAnsi="Times New Roman" w:cs="Times New Roman"/>
          <w:b/>
          <w:color w:val="0E101A"/>
          <w:sz w:val="24"/>
          <w:szCs w:val="24"/>
        </w:rPr>
      </w:pPr>
      <w:r w:rsidRPr="00975F7A">
        <w:rPr>
          <w:rFonts w:ascii="Times New Roman" w:eastAsia="Times New Roman" w:hAnsi="Times New Roman" w:cs="Times New Roman"/>
          <w:b/>
          <w:color w:val="0E101A"/>
          <w:sz w:val="24"/>
          <w:szCs w:val="24"/>
        </w:rPr>
        <w:t>Recom</w:t>
      </w:r>
      <w:r w:rsidRPr="00975F7A">
        <w:rPr>
          <w:rFonts w:ascii="Times New Roman" w:eastAsia="Times New Roman" w:hAnsi="Times New Roman" w:cs="Times New Roman"/>
          <w:b/>
          <w:color w:val="0E101A"/>
          <w:sz w:val="24"/>
          <w:szCs w:val="24"/>
        </w:rPr>
        <w:t>mended Action</w:t>
      </w:r>
    </w:p>
    <w:p w14:paraId="0000002A" w14:textId="77777777" w:rsidR="00AA0D93" w:rsidRPr="00975F7A" w:rsidRDefault="008A5FAF" w:rsidP="00975F7A">
      <w:pPr>
        <w:spacing w:line="480" w:lineRule="auto"/>
        <w:ind w:firstLine="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From evaluating the company’s proforma income statement and considering different market conditions, ZYX management should pursue the expansion strategy to see the company investing in two new product lines and a different location. The ratio</w:t>
      </w:r>
      <w:r w:rsidRPr="00975F7A">
        <w:rPr>
          <w:rFonts w:ascii="Times New Roman" w:eastAsia="Times New Roman" w:hAnsi="Times New Roman" w:cs="Times New Roman"/>
          <w:color w:val="0E101A"/>
          <w:sz w:val="24"/>
          <w:szCs w:val="24"/>
        </w:rPr>
        <w:t>nale for the recommended action follows the apparent improvement in the company’s revenues and profitability based on examining the corporate financial exploration. Notably, the income statement reflects a positive trend in the company’s profitability, whi</w:t>
      </w:r>
      <w:r w:rsidRPr="00975F7A">
        <w:rPr>
          <w:rFonts w:ascii="Times New Roman" w:eastAsia="Times New Roman" w:hAnsi="Times New Roman" w:cs="Times New Roman"/>
          <w:color w:val="0E101A"/>
          <w:sz w:val="24"/>
          <w:szCs w:val="24"/>
        </w:rPr>
        <w:t xml:space="preserve">ch supports the viability of the expansion program by ZYX to include two new food items, increasing the company’s diversification in the marketplace. Besides, the company should apply the MARCS depreciation technique for the equipment purchased to help in </w:t>
      </w:r>
      <w:r w:rsidRPr="00975F7A">
        <w:rPr>
          <w:rFonts w:ascii="Times New Roman" w:eastAsia="Times New Roman" w:hAnsi="Times New Roman" w:cs="Times New Roman"/>
          <w:color w:val="0E101A"/>
          <w:sz w:val="24"/>
          <w:szCs w:val="24"/>
        </w:rPr>
        <w:t>revamped production, which although would have a higher tax deduction in the initial years, the amount of tax deduction would decline as the years progresses. Besides, the SQF FDA expenses attributed to compliance with the FDA requirement decreased with th</w:t>
      </w:r>
      <w:r w:rsidRPr="00975F7A">
        <w:rPr>
          <w:rFonts w:ascii="Times New Roman" w:eastAsia="Times New Roman" w:hAnsi="Times New Roman" w:cs="Times New Roman"/>
          <w:color w:val="0E101A"/>
          <w:sz w:val="24"/>
          <w:szCs w:val="24"/>
        </w:rPr>
        <w:t>e production of the two food products, which is a good indicator toward employing the expansion program.</w:t>
      </w:r>
    </w:p>
    <w:p w14:paraId="0000002B"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2C"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2D"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2E"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2F"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30"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31"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32"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33"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34"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35"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36" w14:textId="31056D4B" w:rsidR="00AA0D93" w:rsidRPr="00975F7A" w:rsidRDefault="00975F7A" w:rsidP="00975F7A">
      <w:pPr>
        <w:spacing w:line="480" w:lineRule="auto"/>
        <w:contextualSpacing/>
        <w:jc w:val="center"/>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 xml:space="preserve">References </w:t>
      </w:r>
    </w:p>
    <w:p w14:paraId="00000037" w14:textId="77777777" w:rsidR="00AA0D93" w:rsidRPr="00975F7A" w:rsidRDefault="008A5FAF" w:rsidP="00975F7A">
      <w:pPr>
        <w:spacing w:line="480" w:lineRule="auto"/>
        <w:ind w:left="720" w:hanging="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Antoniuk, V., &amp; Zholnerchyk, H. (2018). The difference between Straight line method and Diminishing Balance method.</w:t>
      </w:r>
    </w:p>
    <w:p w14:paraId="00000038" w14:textId="77777777" w:rsidR="00AA0D93" w:rsidRPr="00975F7A" w:rsidRDefault="008A5FAF" w:rsidP="00975F7A">
      <w:pPr>
        <w:spacing w:line="480" w:lineRule="auto"/>
        <w:ind w:left="720" w:hanging="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 xml:space="preserve">Brigham, E. F., &amp; Houston, J. F. (2021). </w:t>
      </w:r>
      <w:r w:rsidRPr="00975F7A">
        <w:rPr>
          <w:rFonts w:ascii="Times New Roman" w:eastAsia="Times New Roman" w:hAnsi="Times New Roman" w:cs="Times New Roman"/>
          <w:i/>
          <w:color w:val="0E101A"/>
          <w:sz w:val="24"/>
          <w:szCs w:val="24"/>
        </w:rPr>
        <w:t>Fundamentals of financial management: Concise</w:t>
      </w:r>
      <w:r w:rsidRPr="00975F7A">
        <w:rPr>
          <w:rFonts w:ascii="Times New Roman" w:eastAsia="Times New Roman" w:hAnsi="Times New Roman" w:cs="Times New Roman"/>
          <w:color w:val="0E101A"/>
          <w:sz w:val="24"/>
          <w:szCs w:val="24"/>
        </w:rPr>
        <w:t>. Cengage Learning.</w:t>
      </w:r>
    </w:p>
    <w:p w14:paraId="00000039" w14:textId="77777777" w:rsidR="00AA0D93" w:rsidRPr="00975F7A" w:rsidRDefault="008A5FAF" w:rsidP="00975F7A">
      <w:pPr>
        <w:spacing w:line="480" w:lineRule="auto"/>
        <w:ind w:left="720" w:hanging="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 xml:space="preserve">Kumar, V., Gaur, A. S., &amp; Pattnaik, C. (2012). Product diversification and international expansion of business groups. </w:t>
      </w:r>
      <w:r w:rsidRPr="00975F7A">
        <w:rPr>
          <w:rFonts w:ascii="Times New Roman" w:eastAsia="Times New Roman" w:hAnsi="Times New Roman" w:cs="Times New Roman"/>
          <w:i/>
          <w:color w:val="0E101A"/>
          <w:sz w:val="24"/>
          <w:szCs w:val="24"/>
        </w:rPr>
        <w:t>Management International Review</w:t>
      </w:r>
      <w:r w:rsidRPr="00975F7A">
        <w:rPr>
          <w:rFonts w:ascii="Times New Roman" w:eastAsia="Times New Roman" w:hAnsi="Times New Roman" w:cs="Times New Roman"/>
          <w:color w:val="0E101A"/>
          <w:sz w:val="24"/>
          <w:szCs w:val="24"/>
        </w:rPr>
        <w:t xml:space="preserve">, </w:t>
      </w:r>
      <w:r w:rsidRPr="00975F7A">
        <w:rPr>
          <w:rFonts w:ascii="Times New Roman" w:eastAsia="Times New Roman" w:hAnsi="Times New Roman" w:cs="Times New Roman"/>
          <w:i/>
          <w:color w:val="0E101A"/>
          <w:sz w:val="24"/>
          <w:szCs w:val="24"/>
        </w:rPr>
        <w:t>52</w:t>
      </w:r>
      <w:r w:rsidRPr="00975F7A">
        <w:rPr>
          <w:rFonts w:ascii="Times New Roman" w:eastAsia="Times New Roman" w:hAnsi="Times New Roman" w:cs="Times New Roman"/>
          <w:color w:val="0E101A"/>
          <w:sz w:val="24"/>
          <w:szCs w:val="24"/>
        </w:rPr>
        <w:t>(2), 175-192.</w:t>
      </w:r>
    </w:p>
    <w:p w14:paraId="0000003A" w14:textId="77777777" w:rsidR="00AA0D93" w:rsidRPr="00975F7A" w:rsidRDefault="008A5FAF" w:rsidP="00975F7A">
      <w:pPr>
        <w:spacing w:line="480" w:lineRule="auto"/>
        <w:ind w:left="720" w:hanging="720"/>
        <w:contextualSpacing/>
        <w:rPr>
          <w:rFonts w:ascii="Times New Roman" w:eastAsia="Times New Roman" w:hAnsi="Times New Roman" w:cs="Times New Roman"/>
          <w:color w:val="0E101A"/>
          <w:sz w:val="24"/>
          <w:szCs w:val="24"/>
        </w:rPr>
      </w:pPr>
      <w:r w:rsidRPr="00975F7A">
        <w:rPr>
          <w:rFonts w:ascii="Times New Roman" w:eastAsia="Times New Roman" w:hAnsi="Times New Roman" w:cs="Times New Roman"/>
          <w:color w:val="0E101A"/>
          <w:sz w:val="24"/>
          <w:szCs w:val="24"/>
        </w:rPr>
        <w:t>Tsamis, A., &amp; Liapis, K. J. (2017). Fair value and cost accounting, depreciation methods, recognition, and measurement for fixed assets.</w:t>
      </w:r>
    </w:p>
    <w:p w14:paraId="0000003B" w14:textId="77777777" w:rsidR="00AA0D93" w:rsidRPr="00975F7A" w:rsidRDefault="00AA0D93" w:rsidP="00975F7A">
      <w:pPr>
        <w:spacing w:line="480" w:lineRule="auto"/>
        <w:contextualSpacing/>
        <w:rPr>
          <w:rFonts w:ascii="Times New Roman" w:eastAsia="Times New Roman" w:hAnsi="Times New Roman" w:cs="Times New Roman"/>
          <w:color w:val="0E101A"/>
          <w:sz w:val="24"/>
          <w:szCs w:val="24"/>
        </w:rPr>
      </w:pPr>
    </w:p>
    <w:p w14:paraId="0000003C" w14:textId="77777777" w:rsidR="00AA0D93" w:rsidRPr="00975F7A" w:rsidRDefault="00AA0D93" w:rsidP="00975F7A">
      <w:pPr>
        <w:spacing w:line="480" w:lineRule="auto"/>
        <w:contextualSpacing/>
        <w:rPr>
          <w:rFonts w:ascii="Times New Roman" w:eastAsia="Times New Roman" w:hAnsi="Times New Roman" w:cs="Times New Roman"/>
          <w:b/>
          <w:sz w:val="24"/>
          <w:szCs w:val="24"/>
        </w:rPr>
      </w:pPr>
    </w:p>
    <w:sectPr w:rsidR="00AA0D93" w:rsidRPr="00975F7A">
      <w:headerReference w:type="default" r:id="rId7"/>
      <w:headerReference w:type="firs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6FDDE" w14:textId="77777777" w:rsidR="008A5FAF" w:rsidRDefault="008A5FAF">
      <w:pPr>
        <w:spacing w:line="240" w:lineRule="auto"/>
      </w:pPr>
      <w:r>
        <w:separator/>
      </w:r>
    </w:p>
  </w:endnote>
  <w:endnote w:type="continuationSeparator" w:id="0">
    <w:p w14:paraId="5F1B5AFA" w14:textId="77777777" w:rsidR="008A5FAF" w:rsidRDefault="008A5F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E3E4F2" w14:textId="77777777" w:rsidR="008A5FAF" w:rsidRDefault="008A5FAF">
      <w:pPr>
        <w:spacing w:line="240" w:lineRule="auto"/>
      </w:pPr>
      <w:r>
        <w:separator/>
      </w:r>
    </w:p>
  </w:footnote>
  <w:footnote w:type="continuationSeparator" w:id="0">
    <w:p w14:paraId="0272B146" w14:textId="77777777" w:rsidR="008A5FAF" w:rsidRDefault="008A5FA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D" w14:textId="77777777" w:rsidR="00AA0D93" w:rsidRPr="00975F7A" w:rsidRDefault="008A5FAF">
    <w:pPr>
      <w:rPr>
        <w:rFonts w:ascii="Times New Roman" w:hAnsi="Times New Roman" w:cs="Times New Roman"/>
        <w:sz w:val="24"/>
      </w:rPr>
    </w:pPr>
    <w:r w:rsidRPr="00975F7A">
      <w:rPr>
        <w:rFonts w:ascii="Times New Roman" w:hAnsi="Times New Roman" w:cs="Times New Roman"/>
        <w:sz w:val="24"/>
      </w:rPr>
      <w:t>ZXY COMPANY EXPANSION EVALUATION</w:t>
    </w:r>
    <w:r w:rsidRPr="00975F7A">
      <w:rPr>
        <w:rFonts w:ascii="Times New Roman" w:hAnsi="Times New Roman" w:cs="Times New Roman"/>
        <w:sz w:val="24"/>
      </w:rPr>
      <w:tab/>
    </w:r>
    <w:r w:rsidRPr="00975F7A">
      <w:rPr>
        <w:rFonts w:ascii="Times New Roman" w:hAnsi="Times New Roman" w:cs="Times New Roman"/>
        <w:sz w:val="24"/>
      </w:rPr>
      <w:tab/>
    </w:r>
    <w:r w:rsidRPr="00975F7A">
      <w:rPr>
        <w:rFonts w:ascii="Times New Roman" w:hAnsi="Times New Roman" w:cs="Times New Roman"/>
        <w:sz w:val="24"/>
      </w:rPr>
      <w:tab/>
      <w:t xml:space="preserve">  </w:t>
    </w:r>
    <w:r w:rsidRPr="00975F7A">
      <w:rPr>
        <w:rFonts w:ascii="Times New Roman" w:hAnsi="Times New Roman" w:cs="Times New Roman"/>
        <w:sz w:val="24"/>
      </w:rPr>
      <w:tab/>
    </w:r>
    <w:r w:rsidRPr="00975F7A">
      <w:rPr>
        <w:rFonts w:ascii="Times New Roman" w:hAnsi="Times New Roman" w:cs="Times New Roman"/>
        <w:sz w:val="24"/>
      </w:rPr>
      <w:tab/>
      <w:t xml:space="preserve">                </w:t>
    </w:r>
    <w:r w:rsidRPr="00975F7A">
      <w:rPr>
        <w:rFonts w:ascii="Times New Roman" w:hAnsi="Times New Roman" w:cs="Times New Roman"/>
        <w:sz w:val="24"/>
      </w:rPr>
      <w:fldChar w:fldCharType="begin"/>
    </w:r>
    <w:r w:rsidRPr="00975F7A">
      <w:rPr>
        <w:rFonts w:ascii="Times New Roman" w:hAnsi="Times New Roman" w:cs="Times New Roman"/>
        <w:sz w:val="24"/>
      </w:rPr>
      <w:instrText>PAGE</w:instrText>
    </w:r>
    <w:r w:rsidR="00975F7A" w:rsidRPr="00975F7A">
      <w:rPr>
        <w:rFonts w:ascii="Times New Roman" w:hAnsi="Times New Roman" w:cs="Times New Roman"/>
        <w:sz w:val="24"/>
      </w:rPr>
      <w:fldChar w:fldCharType="separate"/>
    </w:r>
    <w:r>
      <w:rPr>
        <w:rFonts w:ascii="Times New Roman" w:hAnsi="Times New Roman" w:cs="Times New Roman"/>
        <w:noProof/>
        <w:sz w:val="24"/>
      </w:rPr>
      <w:t>1</w:t>
    </w:r>
    <w:r w:rsidRPr="00975F7A">
      <w:rPr>
        <w:rFonts w:ascii="Times New Roman" w:hAnsi="Times New Roman" w:cs="Times New Roman"/>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E" w14:textId="77777777" w:rsidR="00AA0D93" w:rsidRDefault="008A5FAF">
    <w:r>
      <w:t>ZXY EXPANSION EVALUATION</w:t>
    </w:r>
    <w:r>
      <w:tab/>
    </w:r>
    <w:r>
      <w:tab/>
    </w:r>
    <w:r>
      <w:tab/>
    </w:r>
    <w:r>
      <w:tab/>
    </w:r>
    <w:r>
      <w:tab/>
    </w:r>
    <w:r>
      <w:tab/>
    </w:r>
    <w:r>
      <w:tab/>
    </w:r>
    <w:r>
      <w:tab/>
      <w:t xml:space="preserve">    </w:t>
    </w:r>
    <w:r>
      <w:fldChar w:fldCharType="begin"/>
    </w:r>
    <w:r>
      <w:instrText>PAGE</w:instrTex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AA0D93"/>
    <w:rsid w:val="008A5FAF"/>
    <w:rsid w:val="00975F7A"/>
    <w:rsid w:val="00AA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75F7A"/>
    <w:pPr>
      <w:tabs>
        <w:tab w:val="center" w:pos="4680"/>
        <w:tab w:val="right" w:pos="9360"/>
      </w:tabs>
      <w:spacing w:line="240" w:lineRule="auto"/>
    </w:pPr>
  </w:style>
  <w:style w:type="character" w:customStyle="1" w:styleId="HeaderChar">
    <w:name w:val="Header Char"/>
    <w:basedOn w:val="DefaultParagraphFont"/>
    <w:link w:val="Header"/>
    <w:uiPriority w:val="99"/>
    <w:rsid w:val="00975F7A"/>
  </w:style>
  <w:style w:type="paragraph" w:styleId="Footer">
    <w:name w:val="footer"/>
    <w:basedOn w:val="Normal"/>
    <w:link w:val="FooterChar"/>
    <w:uiPriority w:val="99"/>
    <w:unhideWhenUsed/>
    <w:rsid w:val="00975F7A"/>
    <w:pPr>
      <w:tabs>
        <w:tab w:val="center" w:pos="4680"/>
        <w:tab w:val="right" w:pos="9360"/>
      </w:tabs>
      <w:spacing w:line="240" w:lineRule="auto"/>
    </w:pPr>
  </w:style>
  <w:style w:type="character" w:customStyle="1" w:styleId="FooterChar">
    <w:name w:val="Footer Char"/>
    <w:basedOn w:val="DefaultParagraphFont"/>
    <w:link w:val="Footer"/>
    <w:uiPriority w:val="99"/>
    <w:rsid w:val="00975F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75F7A"/>
    <w:pPr>
      <w:tabs>
        <w:tab w:val="center" w:pos="4680"/>
        <w:tab w:val="right" w:pos="9360"/>
      </w:tabs>
      <w:spacing w:line="240" w:lineRule="auto"/>
    </w:pPr>
  </w:style>
  <w:style w:type="character" w:customStyle="1" w:styleId="HeaderChar">
    <w:name w:val="Header Char"/>
    <w:basedOn w:val="DefaultParagraphFont"/>
    <w:link w:val="Header"/>
    <w:uiPriority w:val="99"/>
    <w:rsid w:val="00975F7A"/>
  </w:style>
  <w:style w:type="paragraph" w:styleId="Footer">
    <w:name w:val="footer"/>
    <w:basedOn w:val="Normal"/>
    <w:link w:val="FooterChar"/>
    <w:uiPriority w:val="99"/>
    <w:unhideWhenUsed/>
    <w:rsid w:val="00975F7A"/>
    <w:pPr>
      <w:tabs>
        <w:tab w:val="center" w:pos="4680"/>
        <w:tab w:val="right" w:pos="9360"/>
      </w:tabs>
      <w:spacing w:line="240" w:lineRule="auto"/>
    </w:pPr>
  </w:style>
  <w:style w:type="character" w:customStyle="1" w:styleId="FooterChar">
    <w:name w:val="Footer Char"/>
    <w:basedOn w:val="DefaultParagraphFont"/>
    <w:link w:val="Footer"/>
    <w:uiPriority w:val="99"/>
    <w:rsid w:val="00975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1120</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2021-08-26T07:15:00Z</dcterms:created>
  <dcterms:modified xsi:type="dcterms:W3CDTF">2021-08-26T07:15:00Z</dcterms:modified>
</cp:coreProperties>
</file>